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CD" w:rsidRPr="007105E9" w:rsidRDefault="00EB0F72" w:rsidP="007105E9">
      <w:pPr>
        <w:jc w:val="center"/>
        <w:rPr>
          <w:rFonts w:cs="Times New Roman"/>
          <w:sz w:val="44"/>
          <w:szCs w:val="44"/>
        </w:rPr>
      </w:pPr>
      <w:r>
        <w:rPr>
          <w:rFonts w:cs="宋体" w:hint="eastAsia"/>
          <w:sz w:val="44"/>
          <w:szCs w:val="44"/>
        </w:rPr>
        <w:t>工业产品生产许可证核发办事指南</w:t>
      </w:r>
    </w:p>
    <w:tbl>
      <w:tblPr>
        <w:tblW w:w="0" w:type="auto"/>
        <w:tblCellSpacing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0"/>
        <w:gridCol w:w="1560"/>
        <w:gridCol w:w="6090"/>
      </w:tblGrid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outset" w:sz="18" w:space="0" w:color="000000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18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填报要素</w:t>
            </w:r>
          </w:p>
        </w:tc>
        <w:tc>
          <w:tcPr>
            <w:tcW w:w="6090" w:type="dxa"/>
            <w:tcBorders>
              <w:top w:val="outset" w:sz="18" w:space="0" w:color="000000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填报内容及要求</w:t>
            </w:r>
          </w:p>
        </w:tc>
      </w:tr>
      <w:tr w:rsidR="000970CD" w:rsidRPr="001819D5" w:rsidTr="002626D3">
        <w:trPr>
          <w:trHeight w:val="1222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设定依据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2626D3" w:rsidRDefault="001A4280" w:rsidP="00543140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《中华人民共和国工业产品生产许可证管理条例》（国务院令第440号，2005年）第9条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A11CAC" w:rsidRDefault="000970CD" w:rsidP="00EB0F72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周一至周五（上午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：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——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12:00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下午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1:30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——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：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）（法定节假日除外）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许可时限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A11CAC" w:rsidRDefault="000970CD" w:rsidP="00EB0F72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自受理申请之日起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</w:t>
            </w:r>
            <w:proofErr w:type="gramStart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是否准予行政许可的决定。自</w:t>
            </w:r>
            <w:proofErr w:type="gramStart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决定之日起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个工作日内向申请人颁发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工业产品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生产许可证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或者不予行政许可决定书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申请条件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企业取得生产许可证，应当符合下列条件：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（一）有营业执照；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（二）有与所生产产品相适应的专业技术人员；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（三）有与所生产产品相适应的生产条件和检验检疫手段；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（四）有与所生产产品相适应的技术文件和工艺文件；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（五）有健全有效的质量管理制度和责任制度；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（六）产品符合有关国家标准、行业标准以及保障人体健康和人身、财产安全的要求；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（七）符合国家产业政策的规定，不存在国家明令淘汰和禁止投资建设的落后工艺、高耗能、污染环境、浪费资源的情况。</w:t>
            </w:r>
          </w:p>
          <w:p w:rsidR="000970CD" w:rsidRPr="00543140" w:rsidRDefault="001A4280" w:rsidP="001A4280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44444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法律、行政法规有其他规定的，还应当符合其规定。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18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18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办理材料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18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全国工业产品生产许可证申请单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； </w:t>
            </w:r>
          </w:p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产品检验报告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产业政策材料（如需要）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4.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保证质量安全承诺书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EB0F72" w:rsidRDefault="00543140" w:rsidP="00EB0F72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5.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企业申请生产许可证延续免于实地核查承诺书（适用于延续</w:t>
            </w:r>
            <w:r w:rsidR="00BE532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的情形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）；</w:t>
            </w:r>
          </w:p>
          <w:p w:rsidR="000970CD" w:rsidRPr="00F6553C" w:rsidRDefault="00EB0F72" w:rsidP="00BE5324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6.有关行政主管部门出具的地址名称变更证明（适用于企业地址名称变更</w:t>
            </w:r>
            <w:r w:rsidR="00BE532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的情形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）。</w:t>
            </w:r>
          </w:p>
        </w:tc>
      </w:tr>
    </w:tbl>
    <w:p w:rsidR="000970CD" w:rsidRDefault="000970CD" w:rsidP="00A11CAC">
      <w:pPr>
        <w:rPr>
          <w:rFonts w:cs="Times New Roman"/>
        </w:rPr>
      </w:pPr>
    </w:p>
    <w:sectPr w:rsidR="000970CD" w:rsidSect="0040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13" w:rsidRDefault="00450213" w:rsidP="00B65D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0213" w:rsidRDefault="00450213" w:rsidP="00B65D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13" w:rsidRDefault="00450213" w:rsidP="00B65D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0213" w:rsidRDefault="00450213" w:rsidP="00B65D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A"/>
    <w:rsid w:val="000163FA"/>
    <w:rsid w:val="000970CD"/>
    <w:rsid w:val="001819D5"/>
    <w:rsid w:val="00196D4D"/>
    <w:rsid w:val="001A4280"/>
    <w:rsid w:val="001F3AFD"/>
    <w:rsid w:val="002626D3"/>
    <w:rsid w:val="0034364E"/>
    <w:rsid w:val="0040479A"/>
    <w:rsid w:val="00422A97"/>
    <w:rsid w:val="00450213"/>
    <w:rsid w:val="004A1087"/>
    <w:rsid w:val="00524033"/>
    <w:rsid w:val="00543140"/>
    <w:rsid w:val="005B4046"/>
    <w:rsid w:val="005D41D3"/>
    <w:rsid w:val="006067C5"/>
    <w:rsid w:val="00681FB4"/>
    <w:rsid w:val="007105E9"/>
    <w:rsid w:val="00792EC7"/>
    <w:rsid w:val="00822FB9"/>
    <w:rsid w:val="00873B93"/>
    <w:rsid w:val="008B7072"/>
    <w:rsid w:val="00952B45"/>
    <w:rsid w:val="00A11CAC"/>
    <w:rsid w:val="00A90B41"/>
    <w:rsid w:val="00B51C85"/>
    <w:rsid w:val="00B65DBA"/>
    <w:rsid w:val="00BB3070"/>
    <w:rsid w:val="00BB58B6"/>
    <w:rsid w:val="00BE5324"/>
    <w:rsid w:val="00D101FD"/>
    <w:rsid w:val="00D436F0"/>
    <w:rsid w:val="00DA2169"/>
    <w:rsid w:val="00DA4531"/>
    <w:rsid w:val="00DC3C47"/>
    <w:rsid w:val="00EB0F72"/>
    <w:rsid w:val="00F33BE2"/>
    <w:rsid w:val="00F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9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65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6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65DBA"/>
    <w:rPr>
      <w:sz w:val="18"/>
      <w:szCs w:val="18"/>
    </w:rPr>
  </w:style>
  <w:style w:type="paragraph" w:styleId="a5">
    <w:name w:val="Normal (Web)"/>
    <w:basedOn w:val="a"/>
    <w:uiPriority w:val="99"/>
    <w:rsid w:val="00B65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B65DBA"/>
    <w:rPr>
      <w:b/>
      <w:bCs/>
    </w:rPr>
  </w:style>
  <w:style w:type="character" w:customStyle="1" w:styleId="apple-converted-space">
    <w:name w:val="apple-converted-space"/>
    <w:basedOn w:val="a0"/>
    <w:rsid w:val="00262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9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65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6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65DBA"/>
    <w:rPr>
      <w:sz w:val="18"/>
      <w:szCs w:val="18"/>
    </w:rPr>
  </w:style>
  <w:style w:type="paragraph" w:styleId="a5">
    <w:name w:val="Normal (Web)"/>
    <w:basedOn w:val="a"/>
    <w:uiPriority w:val="99"/>
    <w:rsid w:val="00B65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B65DBA"/>
    <w:rPr>
      <w:b/>
      <w:bCs/>
    </w:rPr>
  </w:style>
  <w:style w:type="character" w:customStyle="1" w:styleId="apple-converted-space">
    <w:name w:val="apple-converted-space"/>
    <w:basedOn w:val="a0"/>
    <w:rsid w:val="0026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XKZ</cp:lastModifiedBy>
  <cp:revision>3</cp:revision>
  <dcterms:created xsi:type="dcterms:W3CDTF">2017-09-06T02:11:00Z</dcterms:created>
  <dcterms:modified xsi:type="dcterms:W3CDTF">2018-11-26T01:42:00Z</dcterms:modified>
</cp:coreProperties>
</file>